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3"/>
        <w:jc w:val="center"/>
        <w:rPr>
          <w:rFonts w:hint="default" w:eastAsia="ＭＳ Ｐゴシック"/>
          <w:b w:val="1"/>
          <w:sz w:val="16"/>
        </w:rPr>
      </w:pPr>
      <w:r>
        <w:rPr>
          <w:rFonts w:hint="default" w:eastAsia="ＭＳ Ｐゴシック"/>
          <w:b w:val="1"/>
          <w:sz w:val="24"/>
        </w:rPr>
        <w:t>中小</w:t>
      </w:r>
      <w:r>
        <w:rPr>
          <w:rFonts w:hint="eastAsia" w:eastAsia="ＭＳ Ｐゴシック"/>
          <w:b w:val="1"/>
          <w:sz w:val="24"/>
        </w:rPr>
        <w:t>企業信用</w:t>
      </w:r>
      <w:r>
        <w:rPr>
          <w:rFonts w:hint="default" w:eastAsia="ＭＳ Ｐゴシック"/>
          <w:b w:val="1"/>
          <w:sz w:val="24"/>
        </w:rPr>
        <w:t>保険法第２条</w:t>
      </w:r>
      <w:r>
        <w:rPr>
          <w:rFonts w:hint="eastAsia" w:eastAsia="ＭＳ Ｐゴシック"/>
          <w:b w:val="1"/>
          <w:sz w:val="24"/>
        </w:rPr>
        <w:t>第５</w:t>
      </w:r>
      <w:r>
        <w:rPr>
          <w:rFonts w:hint="default" w:eastAsia="ＭＳ Ｐゴシック"/>
          <w:b w:val="1"/>
          <w:sz w:val="24"/>
        </w:rPr>
        <w:t>項</w:t>
      </w:r>
      <w:r>
        <w:rPr>
          <w:rFonts w:hint="eastAsia" w:eastAsia="ＭＳ Ｐゴシック"/>
          <w:b w:val="1"/>
          <w:sz w:val="24"/>
        </w:rPr>
        <w:t>第</w:t>
      </w:r>
      <w:r>
        <w:rPr>
          <w:rFonts w:hint="default" w:eastAsia="ＭＳ Ｐゴシック"/>
          <w:b w:val="1"/>
          <w:sz w:val="24"/>
        </w:rPr>
        <w:t>５号</w:t>
      </w:r>
      <w:r>
        <w:rPr>
          <w:rFonts w:hint="default" w:eastAsia="ＭＳ Ｐゴシック"/>
          <w:b w:val="1"/>
          <w:sz w:val="24"/>
        </w:rPr>
        <w:t>(</w:t>
      </w:r>
      <w:r>
        <w:rPr>
          <w:rFonts w:hint="eastAsia" w:eastAsia="ＭＳ Ｐゴシック"/>
          <w:b w:val="1"/>
          <w:sz w:val="24"/>
        </w:rPr>
        <w:t>ロ</w:t>
      </w:r>
      <w:r>
        <w:rPr>
          <w:rFonts w:hint="eastAsia" w:eastAsia="ＭＳ Ｐゴシック"/>
          <w:b w:val="1"/>
          <w:sz w:val="24"/>
        </w:rPr>
        <w:t>)</w:t>
      </w:r>
      <w:r>
        <w:rPr>
          <w:rFonts w:hint="eastAsia" w:eastAsia="ＭＳ Ｐゴシック"/>
          <w:b w:val="1"/>
          <w:sz w:val="24"/>
        </w:rPr>
        <w:t>－③　別紙</w:t>
      </w:r>
    </w:p>
    <w:p>
      <w:pPr>
        <w:pStyle w:val="33"/>
        <w:jc w:val="center"/>
        <w:rPr>
          <w:rFonts w:hint="default"/>
          <w:sz w:val="16"/>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１　指定業種に係る原油等の仕入単価の上昇</w:t>
      </w:r>
    </w:p>
    <w:tbl>
      <w:tblPr>
        <w:tblStyle w:val="11"/>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56"/>
        <w:gridCol w:w="3231"/>
        <w:gridCol w:w="3281"/>
      </w:tblGrid>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ａ</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指定業種に係る原油等の最近１か月の平均仕入単価　　【Ｅ】</w:t>
            </w:r>
          </w:p>
        </w:tc>
        <w:tc>
          <w:tcPr>
            <w:tcW w:w="3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指定業種に係る原油等の前年同月の平均仕入単価　　　【</w:t>
            </w:r>
            <w:r>
              <w:rPr>
                <w:rFonts w:hint="eastAsia" w:ascii="ＭＳ ゴシック" w:hAnsi="ＭＳ ゴシック" w:eastAsia="ＭＳ ゴシック"/>
                <w:sz w:val="20"/>
              </w:rPr>
              <w:t>e</w:t>
            </w:r>
            <w:r>
              <w:rPr>
                <w:rFonts w:hint="eastAsia" w:ascii="ＭＳ ゴシック" w:hAnsi="ＭＳ ゴシック" w:eastAsia="ＭＳ ゴシック"/>
                <w:sz w:val="20"/>
              </w:rPr>
              <w:t>】</w:t>
            </w:r>
          </w:p>
        </w:tc>
        <w:tc>
          <w:tcPr>
            <w:tcW w:w="3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20"/>
              </w:rPr>
            </w:pPr>
            <w:r>
              <w:rPr>
                <w:rFonts w:hint="eastAsia" w:ascii="ＭＳ ゴシック" w:hAnsi="ＭＳ ゴシック" w:eastAsia="ＭＳ ゴシック"/>
                <w:sz w:val="20"/>
              </w:rPr>
              <w:t>指定業種に係る原油等の仕入単価の上昇率　　【</w:t>
            </w:r>
            <w:r>
              <w:rPr>
                <w:rFonts w:hint="eastAsia" w:ascii="ＭＳ ゴシック" w:hAnsi="ＭＳ ゴシック" w:eastAsia="ＭＳ ゴシック"/>
                <w:sz w:val="20"/>
              </w:rPr>
              <w:t>E/e</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c>
          <w:tcPr>
            <w:tcW w:w="32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3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32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２　</w:t>
      </w:r>
      <w:r>
        <w:rPr>
          <w:rFonts w:hint="eastAsia" w:ascii="ＭＳ ゴシック" w:hAnsi="ＭＳ ゴシック" w:eastAsia="ＭＳ ゴシック"/>
          <w:b w:val="1"/>
          <w:color w:val="000000"/>
          <w:kern w:val="0"/>
        </w:rPr>
        <w:t>指定業種に係る原油等の仕入価格</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03"/>
        <w:gridCol w:w="4582"/>
      </w:tblGrid>
      <w:tr>
        <w:trPr>
          <w:trHeight w:val="489"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left"/>
              <w:rPr>
                <w:rFonts w:hint="default" w:ascii="ＭＳ ゴシック" w:hAnsi="ＭＳ ゴシック" w:eastAsia="ＭＳ ゴシック"/>
                <w:sz w:val="20"/>
              </w:rPr>
            </w:pPr>
            <w:r>
              <w:rPr>
                <w:rFonts w:hint="eastAsia" w:ascii="ＭＳ ゴシック" w:hAnsi="ＭＳ ゴシック" w:eastAsia="ＭＳ ゴシック"/>
                <w:sz w:val="20"/>
              </w:rPr>
              <w:t>ｃ</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指定業種であって、原油等の価格の上昇を製品等に転嫁できていない事業が属する業種（※注１）</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ｄ</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指定業種に係る原油等の仕入価格</w:t>
            </w:r>
          </w:p>
        </w:tc>
      </w:tr>
      <w:tr>
        <w:trPr>
          <w:trHeight w:val="372"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業</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r>
      <w:tr>
        <w:trPr>
          <w:trHeight w:val="459"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838" w:firstLineChars="1900"/>
              <w:rPr>
                <w:rFonts w:hint="default" w:ascii="ＭＳ ゴシック" w:hAnsi="ＭＳ ゴシック" w:eastAsia="ＭＳ ゴシック"/>
                <w:sz w:val="20"/>
              </w:rPr>
            </w:pPr>
            <w:r>
              <w:rPr>
                <w:rFonts w:hint="eastAsia" w:ascii="ＭＳ ゴシック" w:hAnsi="ＭＳ ゴシック" w:eastAsia="ＭＳ ゴシック"/>
                <w:sz w:val="20"/>
              </w:rPr>
              <w:t>業（※注２）</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r>
      <w:tr>
        <w:trPr>
          <w:trHeight w:val="424" w:hRule="atLeast"/>
        </w:trPr>
        <w:tc>
          <w:tcPr>
            <w:tcW w:w="52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合　　計</w:t>
            </w:r>
          </w:p>
        </w:tc>
        <w:tc>
          <w:tcPr>
            <w:tcW w:w="45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【Ｓ】千円</w:t>
            </w:r>
          </w:p>
        </w:tc>
      </w:tr>
    </w:tbl>
    <w:p>
      <w:pPr>
        <w:pStyle w:val="0"/>
        <w:suppressAutoHyphens w:val="1"/>
        <w:kinsoku w:val="0"/>
        <w:wordWrap w:val="0"/>
        <w:autoSpaceDE w:val="0"/>
        <w:autoSpaceDN w:val="0"/>
        <w:spacing w:line="260" w:lineRule="exact"/>
        <w:ind w:left="619" w:hanging="619" w:hangingChars="292"/>
        <w:jc w:val="left"/>
        <w:rPr>
          <w:rFonts w:hint="default" w:ascii="ＭＳ ゴシック" w:hAnsi="ＭＳ ゴシック" w:eastAsia="ＭＳ ゴシック"/>
          <w:color w:val="000000"/>
          <w:kern w:val="0"/>
        </w:rPr>
      </w:pPr>
      <w:r>
        <w:rPr>
          <w:rFonts w:hint="eastAsia" w:ascii="ＭＳ ゴシック" w:hAnsi="ＭＳ ゴシック" w:eastAsia="ＭＳ ゴシック"/>
        </w:rPr>
        <w:t>※注１　</w:t>
      </w:r>
      <w:r>
        <w:rPr>
          <w:rFonts w:hint="eastAsia" w:ascii="ＭＳ ゴシック" w:hAnsi="ＭＳ ゴシック" w:eastAsia="ＭＳ ゴシック"/>
          <w:color w:val="000000"/>
          <w:kern w:val="0"/>
        </w:rPr>
        <w:t>認定申請書の表には、ここに記載した指定業種（日本標準産業分類の細分類番号と細分類業</w:t>
      </w:r>
    </w:p>
    <w:p>
      <w:pPr>
        <w:pStyle w:val="0"/>
        <w:suppressAutoHyphens w:val="1"/>
        <w:kinsoku w:val="0"/>
        <w:wordWrap w:val="0"/>
        <w:autoSpaceDE w:val="0"/>
        <w:autoSpaceDN w:val="0"/>
        <w:spacing w:line="260" w:lineRule="exact"/>
        <w:ind w:left="617" w:leftChars="291"/>
        <w:jc w:val="left"/>
        <w:rPr>
          <w:rFonts w:hint="default" w:ascii="ＭＳ ゴシック" w:hAnsi="ＭＳ ゴシック" w:eastAsia="ＭＳ ゴシック"/>
        </w:rPr>
      </w:pPr>
      <w:r>
        <w:rPr>
          <w:rFonts w:hint="eastAsia" w:ascii="ＭＳ ゴシック" w:hAnsi="ＭＳ ゴシック" w:eastAsia="ＭＳ ゴシック"/>
          <w:color w:val="000000"/>
          <w:kern w:val="0"/>
        </w:rPr>
        <w:t>種名）と同じ業種を記載。</w:t>
      </w:r>
    </w:p>
    <w:p>
      <w:pPr>
        <w:pStyle w:val="0"/>
        <w:suppressAutoHyphens w:val="1"/>
        <w:kinsoku w:val="0"/>
        <w:wordWrap w:val="0"/>
        <w:autoSpaceDE w:val="0"/>
        <w:autoSpaceDN w:val="0"/>
        <w:spacing w:line="260" w:lineRule="exact"/>
        <w:jc w:val="left"/>
        <w:rPr>
          <w:rFonts w:hint="default" w:ascii="ＭＳ ゴシック" w:hAnsi="ＭＳ ゴシック" w:eastAsia="ＭＳ ゴシック"/>
        </w:rPr>
      </w:pPr>
      <w:r>
        <w:rPr>
          <w:rFonts w:hint="eastAsia" w:ascii="ＭＳ ゴシック" w:hAnsi="ＭＳ ゴシック" w:eastAsia="ＭＳ ゴシック"/>
        </w:rPr>
        <w:t>※注２　なお、</w:t>
      </w:r>
      <w:r>
        <w:rPr>
          <w:rFonts w:hint="eastAsia" w:ascii="ＭＳ ゴシック" w:hAnsi="ＭＳ ゴシック" w:eastAsia="ＭＳ ゴシック"/>
        </w:rPr>
        <w:t>1</w:t>
      </w:r>
      <w:r>
        <w:rPr>
          <w:rFonts w:hint="eastAsia" w:ascii="ＭＳ ゴシック" w:hAnsi="ＭＳ ゴシック" w:eastAsia="ＭＳ ゴシック"/>
        </w:rPr>
        <w:t>つの欄に指定業種に係る原油等の仕入価格を合算して記載</w:t>
      </w:r>
      <w:r>
        <w:rPr>
          <w:rFonts w:hint="eastAsia" w:ascii="ＭＳ ゴシック" w:hAnsi="ＭＳ ゴシック" w:eastAsia="ＭＳ ゴシック"/>
          <w:color w:val="000000"/>
          <w:kern w:val="0"/>
        </w:rPr>
        <w:t>することもできるが、業　　　種名等は併記すること。</w:t>
      </w:r>
      <w:bookmarkStart w:id="0" w:name="_GoBack"/>
      <w:bookmarkEnd w:id="0"/>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b w:val="1"/>
        </w:rPr>
      </w:pPr>
      <w:r>
        <w:rPr>
          <w:rFonts w:hint="eastAsia" w:ascii="ＭＳ ゴシック" w:hAnsi="ＭＳ ゴシック" w:eastAsia="ＭＳ ゴシック"/>
          <w:b w:val="1"/>
        </w:rPr>
        <w:t>３　全体の売上原価に占める指定業種に係る原油等の仕入価格の割合</w:t>
      </w:r>
    </w:p>
    <w:tbl>
      <w:tblPr>
        <w:tblStyle w:val="1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754"/>
        <w:gridCol w:w="3450"/>
        <w:gridCol w:w="3402"/>
      </w:tblGrid>
      <w:tr>
        <w:trPr>
          <w:trHeight w:val="862" w:hRule="atLeast"/>
        </w:trPr>
        <w:tc>
          <w:tcPr>
            <w:tcW w:w="2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全体の売上原価（ａ）</w:t>
            </w:r>
          </w:p>
          <w:p>
            <w:pPr>
              <w:pStyle w:val="0"/>
              <w:spacing w:line="280" w:lineRule="exact"/>
              <w:jc w:val="center"/>
              <w:rPr>
                <w:rFonts w:hint="default" w:ascii="ＭＳ ゴシック" w:hAnsi="ＭＳ ゴシック" w:eastAsia="ＭＳ ゴシック"/>
                <w:sz w:val="20"/>
              </w:rPr>
            </w:pPr>
          </w:p>
          <w:p>
            <w:pPr>
              <w:pStyle w:val="0"/>
              <w:spacing w:line="28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【Ｃ】</w:t>
            </w:r>
          </w:p>
        </w:tc>
        <w:tc>
          <w:tcPr>
            <w:tcW w:w="3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指定業種に係る原油等の仕入価格（ｂ）</w:t>
            </w:r>
          </w:p>
          <w:p>
            <w:pPr>
              <w:pStyle w:val="0"/>
              <w:spacing w:line="28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【Ｓ】</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全体の売上原価に占める指定業種に係る原油等の仕入価格の割合</w:t>
            </w:r>
          </w:p>
          <w:p>
            <w:pPr>
              <w:pStyle w:val="0"/>
              <w:spacing w:line="28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w:t>
            </w:r>
            <w:r>
              <w:rPr>
                <w:rFonts w:hint="eastAsia" w:ascii="ＭＳ ゴシック" w:hAnsi="ＭＳ ゴシック" w:eastAsia="ＭＳ ゴシック"/>
                <w:sz w:val="20"/>
              </w:rPr>
              <w:t>ａ×</w:t>
            </w:r>
            <w:r>
              <w:rPr>
                <w:rFonts w:hint="eastAsia" w:ascii="ＭＳ ゴシック" w:hAnsi="ＭＳ ゴシック" w:eastAsia="ＭＳ ゴシック"/>
                <w:sz w:val="20"/>
              </w:rPr>
              <w:t>100</w:t>
            </w:r>
            <w:r>
              <w:rPr>
                <w:rFonts w:hint="eastAsia" w:ascii="ＭＳ ゴシック" w:hAnsi="ＭＳ ゴシック" w:eastAsia="ＭＳ ゴシック"/>
                <w:sz w:val="20"/>
              </w:rPr>
              <w:t>）</w:t>
            </w:r>
          </w:p>
        </w:tc>
      </w:tr>
      <w:tr>
        <w:trPr>
          <w:trHeight w:val="363" w:hRule="atLeast"/>
        </w:trPr>
        <w:tc>
          <w:tcPr>
            <w:tcW w:w="27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b w:val="1"/>
          <w:color w:val="000000"/>
          <w:kern w:val="0"/>
        </w:rPr>
      </w:pPr>
      <w:r>
        <w:rPr>
          <w:rFonts w:hint="eastAsia" w:ascii="ＭＳ ゴシック" w:hAnsi="ＭＳ ゴシック" w:eastAsia="ＭＳ ゴシック"/>
          <w:b w:val="1"/>
        </w:rPr>
        <w:t>４　</w:t>
      </w:r>
      <w:r>
        <w:rPr>
          <w:rFonts w:hint="eastAsia" w:ascii="ＭＳ ゴシック" w:hAnsi="ＭＳ ゴシック" w:eastAsia="ＭＳ ゴシック"/>
          <w:b w:val="1"/>
          <w:color w:val="000000"/>
          <w:kern w:val="0"/>
        </w:rPr>
        <w:t>指定業種に係る製品等価格への転嫁の状況</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47"/>
        <w:gridCol w:w="1486"/>
        <w:gridCol w:w="1419"/>
        <w:gridCol w:w="1337"/>
        <w:gridCol w:w="1380"/>
        <w:gridCol w:w="1380"/>
        <w:gridCol w:w="1337"/>
      </w:tblGrid>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指定業種</w:t>
            </w:r>
          </w:p>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最近３か月間の指定業種に係る原油等の仕入価格（ａ）</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最近３か月間の指定業種に係る売上高（ｂ）</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w:t>
            </w:r>
            <w:r>
              <w:rPr>
                <w:rFonts w:hint="eastAsia" w:ascii="ＭＳ ゴシック" w:hAnsi="ＭＳ ゴシック" w:eastAsia="ＭＳ ゴシック"/>
                <w:sz w:val="24"/>
              </w:rPr>
              <w:t>/</w:t>
            </w:r>
            <w:r>
              <w:rPr>
                <w:rFonts w:hint="eastAsia" w:ascii="ＭＳ ゴシック" w:hAnsi="ＭＳ ゴシック" w:eastAsia="ＭＳ ゴシック"/>
                <w:sz w:val="24"/>
              </w:rPr>
              <w:t>ｂ×</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前年同期の指定業種に係る原油等の仕入価格（ｃ）</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前年同期の指定業種に係る売上高（ｄ）</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ｄ×</w:t>
            </w:r>
            <w:r>
              <w:rPr>
                <w:rFonts w:hint="eastAsia" w:ascii="ＭＳ ゴシック" w:hAnsi="ＭＳ ゴシック" w:eastAsia="ＭＳ ゴシック"/>
                <w:sz w:val="24"/>
              </w:rPr>
              <w:t>100</w:t>
            </w:r>
            <w:r>
              <w:rPr>
                <w:rFonts w:hint="eastAsia" w:ascii="ＭＳ ゴシック" w:hAnsi="ＭＳ ゴシック" w:eastAsia="ＭＳ ゴシック"/>
                <w:sz w:val="24"/>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0"/>
              </w:rPr>
            </w:pP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tc>
          <w:tcPr>
            <w:tcW w:w="14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合計</w:t>
            </w:r>
          </w:p>
        </w:tc>
        <w:tc>
          <w:tcPr>
            <w:tcW w:w="1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【Ａ１】</w:t>
            </w:r>
          </w:p>
        </w:tc>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【Ｂ１】</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【ａ１】</w:t>
            </w:r>
          </w:p>
        </w:tc>
        <w:tc>
          <w:tcPr>
            <w:tcW w:w="13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uppressAutoHyphens w:val="1"/>
              <w:kinsoku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【ｂ１】</w:t>
            </w:r>
          </w:p>
        </w:tc>
        <w:tc>
          <w:tcPr>
            <w:tcW w:w="13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r>
    </w:tbl>
    <w:p>
      <w:pPr>
        <w:pStyle w:val="0"/>
        <w:suppressAutoHyphens w:val="1"/>
        <w:kinsoku w:val="0"/>
        <w:wordWrap w:val="0"/>
        <w:autoSpaceDE w:val="0"/>
        <w:autoSpaceDN w:val="0"/>
        <w:spacing w:line="0" w:lineRule="atLeast"/>
        <w:jc w:val="lef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b w:val="1"/>
          <w:sz w:val="18"/>
        </w:rPr>
        <w:t>２</w:t>
      </w:r>
      <w:r>
        <w:rPr>
          <w:rFonts w:hint="eastAsia" w:ascii="ＭＳ ゴシック" w:hAnsi="ＭＳ ゴシック" w:eastAsia="ＭＳ ゴシック"/>
          <w:sz w:val="18"/>
        </w:rPr>
        <w:t>に記載した指定業種と同じ指定業種を記載。</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b w:val="1"/>
          <w:color w:val="000000"/>
          <w:kern w:val="0"/>
        </w:rPr>
      </w:pPr>
      <w:r>
        <w:rPr>
          <w:rFonts w:hint="eastAsia" w:ascii="ＭＳ ゴシック" w:hAnsi="ＭＳ ゴシック" w:eastAsia="ＭＳ ゴシック"/>
          <w:b w:val="1"/>
        </w:rPr>
        <w:t>５</w:t>
      </w:r>
      <w:r>
        <w:rPr>
          <w:rFonts w:hint="eastAsia" w:ascii="ＭＳ ゴシック" w:hAnsi="ＭＳ ゴシック" w:eastAsia="ＭＳ ゴシック"/>
          <w:b w:val="1"/>
        </w:rPr>
        <w:t xml:space="preserve">  </w:t>
      </w:r>
      <w:r>
        <w:rPr>
          <w:rFonts w:hint="eastAsia" w:ascii="ＭＳ ゴシック" w:hAnsi="ＭＳ ゴシック" w:eastAsia="ＭＳ ゴシック"/>
          <w:b w:val="1"/>
          <w:color w:val="000000"/>
          <w:kern w:val="0"/>
        </w:rPr>
        <w:t>全体に係る製品等価格への転嫁の状況</w:t>
      </w:r>
    </w:p>
    <w:tbl>
      <w:tblPr>
        <w:tblStyle w:val="11"/>
        <w:tblW w:w="9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1"/>
        <w:gridCol w:w="1665"/>
        <w:gridCol w:w="1424"/>
        <w:gridCol w:w="1842"/>
        <w:gridCol w:w="1560"/>
        <w:gridCol w:w="1357"/>
      </w:tblGrid>
      <w:tr>
        <w:trPr>
          <w:trHeight w:val="888" w:hRule="atLeast"/>
        </w:trPr>
        <w:tc>
          <w:tcPr>
            <w:tcW w:w="19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最近３か月間の指定業種に係る原油等の仕入価格（ａ）</w:t>
            </w:r>
          </w:p>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【Ａ１】</w:t>
            </w: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最近３か月間の全体の売上高（ｂ）</w:t>
            </w:r>
          </w:p>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【Ｂ２】</w:t>
            </w:r>
          </w:p>
        </w:tc>
        <w:tc>
          <w:tcPr>
            <w:tcW w:w="1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（ａ</w:t>
            </w:r>
            <w:r>
              <w:rPr>
                <w:rFonts w:hint="eastAsia" w:ascii="ＭＳ ゴシック" w:hAnsi="ＭＳ ゴシック" w:eastAsia="ＭＳ ゴシック"/>
              </w:rPr>
              <w:t>/</w:t>
            </w:r>
            <w:r>
              <w:rPr>
                <w:rFonts w:hint="eastAsia" w:ascii="ＭＳ ゴシック" w:hAnsi="ＭＳ ゴシック" w:eastAsia="ＭＳ ゴシック"/>
              </w:rPr>
              <w:t>ｂ×</w:t>
            </w:r>
            <w:r>
              <w:rPr>
                <w:rFonts w:hint="eastAsia" w:ascii="ＭＳ ゴシック" w:hAnsi="ＭＳ ゴシック" w:eastAsia="ＭＳ ゴシック"/>
              </w:rPr>
              <w:t>100</w:t>
            </w:r>
            <w:r>
              <w:rPr>
                <w:rFonts w:hint="eastAsia" w:ascii="ＭＳ ゴシック" w:hAnsi="ＭＳ ゴシック" w:eastAsia="ＭＳ ゴシック"/>
              </w:rPr>
              <w:t>）</w:t>
            </w: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sz w:val="20"/>
              </w:rPr>
              <w:t>前年同期の指定業種に係る原油等の仕入価格</w:t>
            </w:r>
            <w:r>
              <w:rPr>
                <w:rFonts w:hint="eastAsia" w:ascii="ＭＳ ゴシック" w:hAnsi="ＭＳ ゴシック" w:eastAsia="ＭＳ ゴシック"/>
                <w:sz w:val="20"/>
              </w:rPr>
              <w:t>(</w:t>
            </w:r>
            <w:r>
              <w:rPr>
                <w:rFonts w:hint="eastAsia" w:ascii="ＭＳ ゴシック" w:hAnsi="ＭＳ ゴシック" w:eastAsia="ＭＳ ゴシック"/>
                <w:sz w:val="20"/>
              </w:rPr>
              <w:t>ｃ</w:t>
            </w:r>
            <w:r>
              <w:rPr>
                <w:rFonts w:hint="eastAsia" w:ascii="ＭＳ ゴシック" w:hAnsi="ＭＳ ゴシック" w:eastAsia="ＭＳ ゴシック"/>
                <w:sz w:val="20"/>
              </w:rPr>
              <w:t>)</w:t>
            </w:r>
          </w:p>
          <w:p>
            <w:pPr>
              <w:pStyle w:val="0"/>
              <w:suppressAutoHyphens w:val="1"/>
              <w:kinsoku w:val="0"/>
              <w:autoSpaceDE w:val="0"/>
              <w:autoSpaceDN w:val="0"/>
              <w:spacing w:line="0" w:lineRule="atLeast"/>
              <w:jc w:val="left"/>
              <w:rPr>
                <w:rFonts w:hint="default" w:ascii="ＭＳ ゴシック" w:hAnsi="ＭＳ ゴシック" w:eastAsia="ＭＳ ゴシック"/>
                <w:sz w:val="20"/>
              </w:rPr>
            </w:pPr>
            <w:r>
              <w:rPr>
                <w:rFonts w:hint="eastAsia" w:ascii="ＭＳ ゴシック" w:hAnsi="ＭＳ ゴシック" w:eastAsia="ＭＳ ゴシック"/>
              </w:rPr>
              <w:t>【ａ１】</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前年同期の全体の売上高</w:t>
            </w:r>
          </w:p>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（ｄ）</w:t>
            </w:r>
          </w:p>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【ｂ２】</w:t>
            </w:r>
          </w:p>
        </w:tc>
        <w:tc>
          <w:tcPr>
            <w:tcW w:w="13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jc w:val="left"/>
              <w:rPr>
                <w:rFonts w:hint="default" w:ascii="ＭＳ ゴシック" w:hAnsi="ＭＳ ゴシック" w:eastAsia="ＭＳ ゴシック"/>
              </w:rPr>
            </w:pPr>
            <w:r>
              <w:rPr>
                <w:rFonts w:hint="eastAsia" w:ascii="ＭＳ ゴシック" w:hAnsi="ＭＳ ゴシック" w:eastAsia="ＭＳ ゴシック"/>
              </w:rPr>
              <w:t>（ｃ</w:t>
            </w:r>
            <w:r>
              <w:rPr>
                <w:rFonts w:hint="eastAsia" w:ascii="ＭＳ ゴシック" w:hAnsi="ＭＳ ゴシック" w:eastAsia="ＭＳ ゴシック"/>
              </w:rPr>
              <w:t>/</w:t>
            </w:r>
            <w:r>
              <w:rPr>
                <w:rFonts w:hint="eastAsia" w:ascii="ＭＳ ゴシック" w:hAnsi="ＭＳ ゴシック" w:eastAsia="ＭＳ ゴシック"/>
              </w:rPr>
              <w:t>ｄ×</w:t>
            </w:r>
            <w:r>
              <w:rPr>
                <w:rFonts w:hint="eastAsia" w:ascii="ＭＳ ゴシック" w:hAnsi="ＭＳ ゴシック" w:eastAsia="ＭＳ ゴシック"/>
              </w:rPr>
              <w:t>100</w:t>
            </w:r>
            <w:r>
              <w:rPr>
                <w:rFonts w:hint="eastAsia" w:ascii="ＭＳ ゴシック" w:hAnsi="ＭＳ ゴシック" w:eastAsia="ＭＳ ゴシック"/>
              </w:rPr>
              <w:t>）</w:t>
            </w:r>
          </w:p>
          <w:p>
            <w:pPr>
              <w:pStyle w:val="0"/>
              <w:spacing w:line="0" w:lineRule="atLeast"/>
              <w:ind w:right="744" w:rightChars="351"/>
              <w:jc w:val="center"/>
              <w:rPr>
                <w:rFonts w:hint="default" w:ascii="ＭＳ ゴシック" w:hAnsi="ＭＳ ゴシック" w:eastAsia="ＭＳ ゴシック"/>
              </w:rPr>
            </w:pPr>
          </w:p>
        </w:tc>
      </w:tr>
      <w:tr>
        <w:trPr>
          <w:trHeight w:val="390" w:hRule="atLeast"/>
        </w:trPr>
        <w:tc>
          <w:tcPr>
            <w:tcW w:w="1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16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14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w:t>
            </w:r>
          </w:p>
        </w:tc>
        <w:tc>
          <w:tcPr>
            <w:tcW w:w="18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135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rPr>
            </w:pPr>
            <w:r>
              <w:rPr>
                <w:rFonts w:hint="eastAsia" w:ascii="ＭＳ ゴシック" w:hAnsi="ＭＳ ゴシック" w:eastAsia="ＭＳ ゴシック"/>
              </w:rPr>
              <w:t>％</w:t>
            </w:r>
          </w:p>
        </w:tc>
      </w:tr>
    </w:tbl>
    <w:p>
      <w:pPr>
        <w:pStyle w:val="0"/>
        <w:rPr>
          <w:rFonts w:hint="default" w:ascii="ＭＳ ゴシック" w:hAnsi="ＭＳ ゴシック" w:eastAsia="ＭＳ ゴシック"/>
        </w:rPr>
      </w:pPr>
      <w:r>
        <w:rPr>
          <w:rFonts w:hint="eastAsia" w:ascii="ＭＳ ゴシック" w:hAnsi="ＭＳ ゴシック" w:eastAsia="ＭＳ ゴシック"/>
        </w:rPr>
        <w:t>※「最近」とは、申請時点から概ね１か月前程度までを想定しています。</w:t>
      </w:r>
    </w:p>
    <w:p>
      <w:pPr>
        <w:pStyle w:val="0"/>
        <w:rPr>
          <w:rFonts w:hint="default" w:ascii="ＭＳ ゴシック" w:hAnsi="ＭＳ ゴシック" w:eastAsia="ＭＳ ゴシック"/>
        </w:rPr>
      </w:pPr>
    </w:p>
    <w:p>
      <w:pPr>
        <w:pStyle w:val="0"/>
        <w:ind w:firstLine="636" w:firstLineChars="300"/>
        <w:rPr>
          <w:rFonts w:hint="default" w:ascii="ＭＳ ゴシック" w:hAnsi="ＭＳ ゴシック" w:eastAsia="ＭＳ ゴシック"/>
          <w:kern w:val="0"/>
        </w:rPr>
      </w:pPr>
      <w:r>
        <w:rPr>
          <w:rFonts w:hint="eastAsia" w:ascii="ＭＳ ゴシック" w:hAnsi="ＭＳ ゴシック" w:eastAsia="ＭＳ ゴシック"/>
        </w:rPr>
        <w:t>上記相違ございません。</w:t>
      </w:r>
      <w:r>
        <w:rPr>
          <w:rFonts w:hint="eastAsia" w:ascii="ＭＳ ゴシック" w:hAnsi="ＭＳ ゴシック" w:eastAsia="ＭＳ ゴシック"/>
        </w:rPr>
        <w:t xml:space="preserve">        </w:t>
      </w:r>
      <w:r>
        <w:rPr>
          <w:rFonts w:hint="eastAsia" w:ascii="ＭＳ ゴシック" w:hAnsi="ＭＳ ゴシック" w:eastAsia="ＭＳ ゴシック"/>
        </w:rPr>
        <w:t>申請者　</w:t>
      </w:r>
      <w:r>
        <w:rPr>
          <w:rFonts w:hint="default" w:ascii="ＭＳ ゴシック" w:hAnsi="ＭＳ ゴシック" w:eastAsia="ＭＳ ゴシック"/>
        </w:rPr>
        <w:t>住所</w:t>
      </w:r>
      <w:r>
        <w:rPr>
          <w:rFonts w:hint="eastAsia" w:ascii="ＭＳ ゴシック" w:hAnsi="ＭＳ ゴシック" w:eastAsia="ＭＳ ゴシック"/>
        </w:rPr>
        <w:t>　</w:t>
      </w:r>
    </w:p>
    <w:p>
      <w:pPr>
        <w:pStyle w:val="0"/>
        <w:ind w:firstLine="4664" w:firstLineChars="2200"/>
        <w:rPr>
          <w:rFonts w:hint="default" w:ascii="ＭＳ ゴシック" w:hAnsi="ＭＳ ゴシック" w:eastAsia="ＭＳ ゴシック"/>
          <w:kern w:val="0"/>
        </w:rPr>
      </w:pPr>
      <w:r>
        <w:rPr>
          <w:rFonts w:hint="default" w:ascii="ＭＳ ゴシック" w:hAnsi="ＭＳ ゴシック" w:eastAsia="ＭＳ ゴシック"/>
        </w:rPr>
        <w:t>氏名</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印</w:t>
      </w:r>
    </w:p>
    <w:sectPr>
      <w:footerReference r:id="rId5" w:type="even"/>
      <w:footerReference r:id="rId6" w:type="default"/>
      <w:pgSz w:w="11906" w:h="16838"/>
      <w:pgMar w:top="567" w:right="1168" w:bottom="567" w:left="1168" w:header="720" w:footer="227" w:gutter="0"/>
      <w:pgNumType w:fmt="numberInDash" w:start="1"/>
      <w:cols w:space="720"/>
      <w:noEndnote w:val="1"/>
      <w:textDirection w:val="lrTb"/>
      <w:docGrid w:type="linesAndChars" w:linePitch="36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3"/>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6"/>
  <w:drawingGridVerticalSpacing w:val="18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22"/>
    <w:uiPriority w:val="0"/>
    <w:pPr>
      <w:tabs>
        <w:tab w:val="center" w:leader="none" w:pos="4252"/>
        <w:tab w:val="right" w:leader="none" w:pos="8504"/>
      </w:tabs>
      <w:snapToGrid w:val="0"/>
    </w:pPr>
  </w:style>
  <w:style w:type="paragraph" w:styleId="17">
    <w:name w:val="footer"/>
    <w:basedOn w:val="0"/>
    <w:next w:val="17"/>
    <w:link w:val="23"/>
    <w:uiPriority w:val="0"/>
    <w:pPr>
      <w:tabs>
        <w:tab w:val="center" w:leader="none" w:pos="4252"/>
        <w:tab w:val="right" w:leader="none" w:pos="8504"/>
      </w:tabs>
      <w:snapToGrid w:val="0"/>
    </w:pPr>
  </w:style>
  <w:style w:type="character" w:styleId="18">
    <w:name w:val="page number"/>
    <w:basedOn w:val="10"/>
    <w:next w:val="18"/>
    <w:link w:val="0"/>
    <w:uiPriority w:val="0"/>
  </w:style>
  <w:style w:type="character" w:styleId="19">
    <w:name w:val="annotation reference"/>
    <w:next w:val="19"/>
    <w:link w:val="0"/>
    <w:uiPriority w:val="0"/>
    <w:semiHidden/>
    <w:rPr>
      <w:sz w:val="18"/>
    </w:rPr>
  </w:style>
  <w:style w:type="paragraph" w:styleId="20">
    <w:name w:val="annotation text"/>
    <w:basedOn w:val="0"/>
    <w:next w:val="20"/>
    <w:link w:val="30"/>
    <w:uiPriority w:val="0"/>
    <w:semiHidden/>
    <w:pPr>
      <w:jc w:val="left"/>
    </w:pPr>
  </w:style>
  <w:style w:type="paragraph" w:styleId="21">
    <w:name w:val="annotation subject"/>
    <w:basedOn w:val="20"/>
    <w:next w:val="20"/>
    <w:link w:val="0"/>
    <w:uiPriority w:val="0"/>
    <w:semiHidden/>
    <w:rPr>
      <w:b w:val="1"/>
    </w:rPr>
  </w:style>
  <w:style w:type="character" w:styleId="22" w:customStyle="1">
    <w:name w:val="ヘッダー (文字)"/>
    <w:next w:val="22"/>
    <w:link w:val="16"/>
    <w:uiPriority w:val="0"/>
    <w:rPr>
      <w:kern w:val="2"/>
      <w:sz w:val="21"/>
    </w:rPr>
  </w:style>
  <w:style w:type="character" w:styleId="23" w:customStyle="1">
    <w:name w:val="フッター (文字)"/>
    <w:next w:val="23"/>
    <w:link w:val="17"/>
    <w:uiPriority w:val="0"/>
    <w:rPr>
      <w:kern w:val="2"/>
      <w:sz w:val="21"/>
    </w:rPr>
  </w:style>
  <w:style w:type="paragraph" w:styleId="24">
    <w:name w:val="List Paragraph"/>
    <w:basedOn w:val="0"/>
    <w:next w:val="24"/>
    <w:link w:val="0"/>
    <w:uiPriority w:val="0"/>
    <w:qFormat/>
    <w:pPr>
      <w:ind w:left="840" w:leftChars="400"/>
    </w:pPr>
  </w:style>
  <w:style w:type="paragraph" w:styleId="25">
    <w:name w:val="Date"/>
    <w:basedOn w:val="0"/>
    <w:next w:val="0"/>
    <w:link w:val="26"/>
    <w:uiPriority w:val="0"/>
  </w:style>
  <w:style w:type="character" w:styleId="26" w:customStyle="1">
    <w:name w:val="日付 (文字)"/>
    <w:next w:val="26"/>
    <w:link w:val="25"/>
    <w:uiPriority w:val="0"/>
    <w:rPr>
      <w:kern w:val="2"/>
      <w:sz w:val="21"/>
    </w:rPr>
  </w:style>
  <w:style w:type="paragraph" w:styleId="27">
    <w:name w:val="Plain Text"/>
    <w:basedOn w:val="0"/>
    <w:next w:val="27"/>
    <w:link w:val="28"/>
    <w:uiPriority w:val="0"/>
    <w:pPr>
      <w:jc w:val="left"/>
    </w:pPr>
    <w:rPr>
      <w:rFonts w:ascii="ＭＳ ゴシック" w:hAnsi="ＭＳ ゴシック" w:eastAsia="ＭＳ ゴシック"/>
      <w:sz w:val="20"/>
    </w:rPr>
  </w:style>
  <w:style w:type="character" w:styleId="28" w:customStyle="1">
    <w:name w:val="書式なし (文字)"/>
    <w:next w:val="28"/>
    <w:link w:val="27"/>
    <w:uiPriority w:val="0"/>
    <w:rPr>
      <w:rFonts w:ascii="ＭＳ ゴシック" w:hAnsi="ＭＳ ゴシック" w:eastAsia="ＭＳ ゴシック"/>
      <w:kern w:val="2"/>
    </w:rPr>
  </w:style>
  <w:style w:type="paragraph" w:styleId="29">
    <w:name w:val="Revision"/>
    <w:next w:val="29"/>
    <w:link w:val="0"/>
    <w:uiPriority w:val="0"/>
    <w:rPr>
      <w:kern w:val="2"/>
      <w:sz w:val="21"/>
    </w:rPr>
  </w:style>
  <w:style w:type="character" w:styleId="30" w:customStyle="1">
    <w:name w:val="コメント文字列 (文字)"/>
    <w:basedOn w:val="10"/>
    <w:next w:val="30"/>
    <w:link w:val="20"/>
    <w:uiPriority w:val="0"/>
    <w:rPr>
      <w:kern w:val="2"/>
      <w:sz w:val="21"/>
    </w:rPr>
  </w:style>
  <w:style w:type="paragraph" w:styleId="31">
    <w:name w:val="Note Heading"/>
    <w:basedOn w:val="0"/>
    <w:next w:val="0"/>
    <w:link w:val="32"/>
    <w:uiPriority w:val="0"/>
    <w:pPr>
      <w:jc w:val="center"/>
    </w:pPr>
    <w:rPr>
      <w:rFonts w:ascii="ＭＳ ゴシック" w:hAnsi="ＭＳ ゴシック" w:eastAsia="ＭＳ ゴシック"/>
      <w:color w:val="000000"/>
      <w:kern w:val="0"/>
    </w:rPr>
  </w:style>
  <w:style w:type="character" w:styleId="32" w:customStyle="1">
    <w:name w:val="記 (文字)"/>
    <w:basedOn w:val="10"/>
    <w:next w:val="32"/>
    <w:link w:val="31"/>
    <w:uiPriority w:val="0"/>
    <w:rPr>
      <w:rFonts w:ascii="ＭＳ ゴシック" w:hAnsi="ＭＳ ゴシック" w:eastAsia="ＭＳ ゴシック"/>
      <w:color w:val="000000"/>
      <w:sz w:val="21"/>
    </w:rPr>
  </w:style>
  <w:style w:type="paragraph" w:styleId="33">
    <w:name w:val="Closing"/>
    <w:basedOn w:val="0"/>
    <w:next w:val="33"/>
    <w:link w:val="34"/>
    <w:uiPriority w:val="0"/>
    <w:pPr>
      <w:jc w:val="right"/>
    </w:pPr>
    <w:rPr>
      <w:rFonts w:ascii="ＭＳ ゴシック" w:hAnsi="ＭＳ ゴシック" w:eastAsia="ＭＳ ゴシック"/>
      <w:color w:val="000000"/>
      <w:kern w:val="0"/>
    </w:rPr>
  </w:style>
  <w:style w:type="character" w:styleId="34" w:customStyle="1">
    <w:name w:val="結語 (文字)"/>
    <w:basedOn w:val="10"/>
    <w:next w:val="34"/>
    <w:link w:val="33"/>
    <w:uiPriority w:val="0"/>
    <w:rPr>
      <w:rFonts w:ascii="ＭＳ ゴシック" w:hAnsi="ＭＳ ゴシック" w:eastAsia="ＭＳ ゴシック"/>
      <w:color w:val="000000"/>
      <w:sz w:val="21"/>
    </w:rPr>
  </w:style>
  <w:style w:type="table" w:styleId="35">
    <w:name w:val="Table Grid"/>
    <w:basedOn w:val="11"/>
    <w:next w:val="3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153</Words>
  <Characters>878</Characters>
  <Application>JUST Note</Application>
  <Lines>7</Lines>
  <Paragraphs>2</Paragraphs>
  <Company> </Company>
  <CharactersWithSpaces>1029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内　部　限　り　</dc:title>
  <dc:creator> </dc:creator>
  <cp:lastModifiedBy>大舩祐樹</cp:lastModifiedBy>
  <cp:lastPrinted>2012-10-30T01:04:00Z</cp:lastPrinted>
  <dcterms:created xsi:type="dcterms:W3CDTF">2012-10-31T08:21:00Z</dcterms:created>
  <dcterms:modified xsi:type="dcterms:W3CDTF">2024-03-29T04:28:22Z</dcterms:modified>
  <cp:revision>4</cp:revision>
</cp:coreProperties>
</file>