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8364"/>
        </w:tabs>
        <w:ind w:left="-708" w:leftChars="-337"/>
        <w:jc w:val="center"/>
        <w:rPr>
          <w:rFonts w:hint="default" w:eastAsia="ＭＳ Ｐゴシック"/>
          <w:b w:val="1"/>
          <w:sz w:val="24"/>
        </w:rPr>
      </w:pPr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第４</w:t>
      </w:r>
      <w:r>
        <w:rPr>
          <w:rFonts w:hint="default" w:eastAsia="ＭＳ Ｐゴシック"/>
          <w:b w:val="1"/>
          <w:sz w:val="24"/>
        </w:rPr>
        <w:t>号</w:t>
      </w:r>
      <w:r>
        <w:rPr>
          <w:rFonts w:hint="eastAsia" w:eastAsia="ＭＳ Ｐゴシック"/>
          <w:b w:val="1"/>
          <w:sz w:val="24"/>
        </w:rPr>
        <w:t>　別紙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18"/>
        </w:rPr>
      </w:pPr>
    </w:p>
    <w:p>
      <w:pPr>
        <w:pStyle w:val="0"/>
        <w:widowControl w:val="1"/>
        <w:ind w:right="-850" w:rightChars="-405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18"/>
        </w:rPr>
      </w:pP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１　災害等の発生における最近３か月間の売上高等について</w:t>
      </w:r>
    </w:p>
    <w:p>
      <w:pPr>
        <w:pStyle w:val="0"/>
        <w:widowControl w:val="1"/>
        <w:ind w:left="-348" w:leftChars="-337" w:hanging="360" w:hangingChars="20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21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18"/>
        </w:rPr>
        <w:t>　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※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「最近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1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か月」について、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  <w:u w:val="wave" w:color="auto"/>
        </w:rPr>
        <w:t>直近の月の売上が確定していない場合のみ、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確定している月まで遡り比較することが可能です（但し、直近の月から起算して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4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か月以内まで。例：「最近１か月」が令和５年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11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月の場合、令和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5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年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8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21"/>
        </w:rPr>
        <w:t>月まで遡り可能。）</w:t>
      </w:r>
    </w:p>
    <w:p>
      <w:pPr>
        <w:pStyle w:val="0"/>
        <w:widowControl w:val="1"/>
        <w:ind w:right="-850" w:rightChars="-405" w:firstLine="3360" w:firstLineChars="160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（単位　千円）</w:t>
      </w:r>
    </w:p>
    <w:tbl>
      <w:tblPr>
        <w:tblStyle w:val="24"/>
        <w:tblW w:w="9923" w:type="dxa"/>
        <w:tblInd w:w="-601" w:type="dxa"/>
        <w:tblLayout w:type="fixed"/>
        <w:tblLook w:firstRow="1" w:lastRow="0" w:firstColumn="1" w:lastColumn="0" w:noHBand="0" w:noVBand="1" w:val="04A0"/>
      </w:tblPr>
      <w:tblGrid>
        <w:gridCol w:w="3116"/>
        <w:gridCol w:w="2271"/>
        <w:gridCol w:w="2126"/>
        <w:gridCol w:w="2410"/>
      </w:tblGrid>
      <w:tr>
        <w:trPr>
          <w:gridAfter w:val="2"/>
          <w:wAfter w:w="4536" w:type="dxa"/>
          <w:trHeight w:val="389" w:hRule="atLeast"/>
        </w:trPr>
        <w:tc>
          <w:tcPr>
            <w:tcW w:w="3116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（ア）災害等の影響を受けた後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最近１か月の売上高等</w:t>
            </w: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</w:tr>
      <w:tr>
        <w:trPr>
          <w:gridAfter w:val="2"/>
          <w:wAfter w:w="4536" w:type="dxa"/>
          <w:trHeight w:val="421" w:hRule="atLeast"/>
        </w:trPr>
        <w:tc>
          <w:tcPr>
            <w:tcW w:w="311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ind w:left="-105" w:leftChars="-50" w:firstLine="141" w:firstLineChars="67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（Ａ）</w:t>
            </w:r>
          </w:p>
        </w:tc>
      </w:tr>
      <w:tr>
        <w:trPr>
          <w:trHeight w:val="372" w:hRule="atLeast"/>
        </w:trPr>
        <w:tc>
          <w:tcPr>
            <w:tcW w:w="31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（イ）上記の期間後２か月の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</w:rPr>
              <w:t>見込み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売上高等</w:t>
            </w: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左記２か月の合計（Ｃ）</w:t>
            </w:r>
          </w:p>
        </w:tc>
      </w:tr>
      <w:tr>
        <w:trPr>
          <w:trHeight w:val="61" w:hRule="atLeast"/>
        </w:trPr>
        <w:tc>
          <w:tcPr>
            <w:tcW w:w="311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</w:tr>
    </w:tbl>
    <w:tbl>
      <w:tblPr>
        <w:tblStyle w:val="24"/>
        <w:tblpPr w:leftFromText="142" w:rightFromText="142" w:topFromText="0" w:bottomFromText="0" w:vertAnchor="text" w:horzAnchor="page" w:tblpX="8628" w:tblpY="272"/>
        <w:tblW w:w="2410" w:type="dxa"/>
        <w:tblLayout w:type="fixed"/>
        <w:tblLook w:firstRow="1" w:lastRow="0" w:firstColumn="1" w:lastColumn="0" w:noHBand="0" w:noVBand="1" w:val="04A0"/>
      </w:tblPr>
      <w:tblGrid>
        <w:gridCol w:w="2410"/>
      </w:tblGrid>
      <w:tr>
        <w:trPr/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kern w:val="0"/>
        </w:rPr>
      </w:pPr>
    </w:p>
    <w:p>
      <w:pPr>
        <w:pStyle w:val="0"/>
        <w:widowControl w:val="1"/>
        <w:wordWrap w:val="0"/>
        <w:jc w:val="right"/>
        <w:rPr>
          <w:rFonts w:hint="default" w:ascii="ＭＳ Ｐゴシック" w:hAnsi="ＭＳ Ｐゴシック" w:eastAsia="ＭＳ Ｐゴシック"/>
          <w:color w:val="000000"/>
          <w:kern w:val="0"/>
          <w:sz w:val="2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Ａ＋Ｃ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0"/>
        </w:rPr>
        <w:br w:type="textWrapping" w:clear="none"/>
      </w:r>
    </w:p>
    <w:p>
      <w:pPr>
        <w:pStyle w:val="0"/>
        <w:widowControl w:val="1"/>
        <w:jc w:val="right"/>
        <w:rPr>
          <w:rFonts w:hint="default" w:ascii="ＭＳ Ｐゴシック" w:hAnsi="ＭＳ Ｐゴシック" w:eastAsia="ＭＳ Ｐゴシック"/>
          <w:color w:val="000000"/>
          <w:kern w:val="0"/>
          <w:sz w:val="18"/>
        </w:rPr>
      </w:pP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２　前年同期３か月間の売上げ等について</w:t>
      </w:r>
    </w:p>
    <w:p>
      <w:pPr>
        <w:pStyle w:val="0"/>
        <w:widowControl w:val="1"/>
        <w:ind w:left="-288" w:leftChars="-337" w:hanging="420" w:hangingChars="20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　※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前年同期が既に新型コロナウイルスの影響を受けている場合、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  <w:u w:val="wave" w:color="auto"/>
        </w:rPr>
        <w:t>新型コロナウイルス感染症拡大の影響を受ける直前の同期と比較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してください。その場合、比較する対象年度をコロナ禍直前の年度（新型コロナウイスルが全国的に感染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拡大した令和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2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年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2</w:t>
      </w: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月を基準に、その直前の年度）まで遡り申請することが可能です。</w:t>
      </w:r>
    </w:p>
    <w:p>
      <w:pPr>
        <w:pStyle w:val="0"/>
        <w:widowControl w:val="1"/>
        <w:ind w:right="-850" w:rightChars="-405" w:firstLine="3360" w:firstLineChars="160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（単位　千円）</w:t>
      </w:r>
    </w:p>
    <w:tbl>
      <w:tblPr>
        <w:tblStyle w:val="24"/>
        <w:tblW w:w="10065" w:type="dxa"/>
        <w:tblInd w:w="-601" w:type="dxa"/>
        <w:tblLayout w:type="fixed"/>
        <w:tblLook w:firstRow="1" w:lastRow="0" w:firstColumn="1" w:lastColumn="0" w:noHBand="0" w:noVBand="1" w:val="04A0"/>
      </w:tblPr>
      <w:tblGrid>
        <w:gridCol w:w="3116"/>
        <w:gridCol w:w="2271"/>
        <w:gridCol w:w="2268"/>
        <w:gridCol w:w="2410"/>
      </w:tblGrid>
      <w:tr>
        <w:trPr>
          <w:gridAfter w:val="2"/>
          <w:wAfter w:w="4678" w:type="dxa"/>
          <w:trHeight w:val="391" w:hRule="atLeast"/>
        </w:trPr>
        <w:tc>
          <w:tcPr>
            <w:tcW w:w="3116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（ア）の期間に対応する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前年１か月の売上高等</w:t>
            </w: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</w:tr>
      <w:tr>
        <w:trPr>
          <w:gridAfter w:val="2"/>
          <w:wAfter w:w="4678" w:type="dxa"/>
          <w:trHeight w:val="421" w:hRule="atLeast"/>
        </w:trPr>
        <w:tc>
          <w:tcPr>
            <w:tcW w:w="311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（Ｂ）</w:t>
            </w:r>
          </w:p>
        </w:tc>
      </w:tr>
      <w:tr>
        <w:trPr>
          <w:trHeight w:val="345" w:hRule="atLeast"/>
        </w:trPr>
        <w:tc>
          <w:tcPr>
            <w:tcW w:w="31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（イ）の期間に対応する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前年２か月の売上高等</w:t>
            </w: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左記２か月の合計（Ｄ）</w:t>
            </w:r>
          </w:p>
        </w:tc>
      </w:tr>
      <w:tr>
        <w:trPr>
          <w:trHeight w:val="61" w:hRule="atLeast"/>
        </w:trPr>
        <w:tc>
          <w:tcPr>
            <w:tcW w:w="311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</w:tr>
    </w:tbl>
    <w:tbl>
      <w:tblPr>
        <w:tblStyle w:val="24"/>
        <w:tblpPr w:leftFromText="142" w:rightFromText="142" w:topFromText="0" w:bottomFromText="0" w:vertAnchor="text" w:horzAnchor="page" w:tblpX="9087" w:tblpY="272"/>
        <w:tblW w:w="2086" w:type="dxa"/>
        <w:tblLayout w:type="fixed"/>
        <w:tblLook w:firstRow="1" w:lastRow="0" w:firstColumn="1" w:lastColumn="0" w:noHBand="0" w:noVBand="1" w:val="04A0"/>
      </w:tblPr>
      <w:tblGrid>
        <w:gridCol w:w="2086"/>
      </w:tblGrid>
      <w:tr>
        <w:trPr/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kern w:val="0"/>
        </w:rPr>
      </w:pPr>
    </w:p>
    <w:p>
      <w:pPr>
        <w:pStyle w:val="0"/>
        <w:widowControl w:val="1"/>
        <w:jc w:val="right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Ｂ＋Ｄ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kern w:val="0"/>
        </w:rPr>
      </w:pPr>
    </w:p>
    <w:p>
      <w:pPr>
        <w:pStyle w:val="0"/>
        <w:widowControl w:val="1"/>
        <w:rPr>
          <w:rFonts w:hint="default" w:ascii="ＭＳ Ｐゴシック" w:hAnsi="ＭＳ Ｐゴシック" w:eastAsia="ＭＳ Ｐゴシック"/>
          <w:color w:val="000000"/>
          <w:kern w:val="0"/>
        </w:rPr>
      </w:pPr>
    </w:p>
    <w:p>
      <w:pPr>
        <w:pStyle w:val="0"/>
        <w:rPr>
          <w:rFonts w:hint="default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kern w:val="0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eastAsia" w:eastAsia="ＭＳ Ｐゴシック"/>
          <w:sz w:val="24"/>
        </w:rPr>
        <w:t>上記相違ございません。</w:t>
      </w:r>
      <w:r>
        <w:rPr>
          <w:rFonts w:hint="eastAsia" w:eastAsia="ＭＳ Ｐゴシック"/>
          <w:sz w:val="24"/>
        </w:rPr>
        <w:t xml:space="preserve">        </w:t>
      </w:r>
      <w:r>
        <w:rPr>
          <w:rFonts w:hint="eastAsia" w:eastAsia="ＭＳ Ｐゴシック"/>
          <w:sz w:val="24"/>
        </w:rPr>
        <w:t>申請者</w:t>
      </w:r>
      <w:r>
        <w:rPr>
          <w:rFonts w:hint="default" w:eastAsia="ＭＳ Ｐゴシック"/>
          <w:sz w:val="24"/>
        </w:rPr>
        <w:t>住所</w:t>
      </w:r>
      <w:r>
        <w:rPr>
          <w:rFonts w:hint="eastAsia" w:eastAsia="ＭＳ Ｐゴシック"/>
          <w:sz w:val="24"/>
        </w:rPr>
        <w:t>　</w:t>
      </w:r>
    </w:p>
    <w:p>
      <w:pPr>
        <w:pStyle w:val="0"/>
        <w:ind w:firstLine="3840" w:firstLineChars="1600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default" w:eastAsia="ＭＳ Ｐゴシック"/>
          <w:sz w:val="24"/>
        </w:rPr>
        <w:t>氏名</w:t>
      </w:r>
      <w:r>
        <w:rPr>
          <w:rFonts w:hint="eastAsia" w:eastAsia="ＭＳ Ｐゴシック"/>
          <w:sz w:val="24"/>
        </w:rPr>
        <w:t>　</w:t>
      </w:r>
      <w:r>
        <w:rPr>
          <w:rFonts w:hint="eastAsia" w:eastAsia="ＭＳ Ｐゴシック"/>
          <w:sz w:val="24"/>
        </w:rPr>
        <w:t xml:space="preserve">                       </w:t>
      </w:r>
      <w:r>
        <w:rPr>
          <w:rFonts w:hint="eastAsia" w:eastAsia="ＭＳ Ｐゴシック"/>
          <w:sz w:val="24"/>
        </w:rPr>
        <w:t>　</w:t>
      </w:r>
      <w:r>
        <w:rPr>
          <w:rFonts w:hint="default" w:eastAsia="ＭＳ Ｐゴシック"/>
          <w:sz w:val="24"/>
        </w:rPr>
        <w:t>　</w:t>
      </w:r>
      <w:r>
        <w:rPr>
          <w:rFonts w:hint="eastAsia" w:eastAsia="ＭＳ Ｐゴシック"/>
          <w:sz w:val="24"/>
        </w:rPr>
        <w:t>　</w:t>
      </w:r>
      <w:r>
        <w:rPr>
          <w:rFonts w:hint="default" w:eastAsia="ＭＳ Ｐゴシック"/>
          <w:sz w:val="24"/>
        </w:rPr>
        <w:t>　　</w:t>
      </w:r>
      <w:r>
        <w:rPr>
          <w:rFonts w:hint="eastAsia" w:eastAsia="ＭＳ Ｐゴシック"/>
          <w:sz w:val="24"/>
        </w:rPr>
        <w:t>　</w:t>
      </w:r>
      <w:r>
        <w:rPr>
          <w:rFonts w:hint="default" w:eastAsia="ＭＳ Ｐゴシック"/>
          <w:sz w:val="24"/>
        </w:rPr>
        <w:t>印</w:t>
      </w:r>
    </w:p>
    <w:p>
      <w:pPr>
        <w:pStyle w:val="0"/>
        <w:widowControl w:val="1"/>
        <w:ind w:right="724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53</Words>
  <Characters>303</Characters>
  <Application>JUST Note</Application>
  <Lines>2</Lines>
  <Paragraphs>1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大舩祐樹</cp:lastModifiedBy>
  <cp:lastPrinted>2020-03-25T11:40:00Z</cp:lastPrinted>
  <dcterms:created xsi:type="dcterms:W3CDTF">2023-11-20T02:20:00Z</dcterms:created>
  <dcterms:modified xsi:type="dcterms:W3CDTF">2024-03-29T01:40:40Z</dcterms:modified>
  <cp:revision>14</cp:revision>
</cp:coreProperties>
</file>