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10</w:t>
      </w:r>
      <w:r>
        <w:rPr>
          <w:rFonts w:hint="eastAsia" w:ascii="ＭＳ 明朝" w:hAnsi="ＭＳ 明朝" w:eastAsia="ＭＳ 明朝"/>
        </w:rPr>
        <w:t>号（第</w:t>
      </w:r>
      <w:r>
        <w:rPr>
          <w:rFonts w:hint="eastAsia" w:ascii="ＭＳ 明朝" w:hAnsi="ＭＳ 明朝" w:eastAsia="ＭＳ 明朝"/>
        </w:rPr>
        <w:t>12</w:t>
      </w:r>
      <w:r>
        <w:rPr>
          <w:rFonts w:hint="eastAsia" w:ascii="ＭＳ 明朝" w:hAnsi="ＭＳ 明朝" w:eastAsia="ＭＳ 明朝"/>
        </w:rPr>
        <w:t>条関係）</w:t>
      </w:r>
      <w:bookmarkStart w:id="0" w:name="_GoBack"/>
      <w:bookmarkEnd w:id="0"/>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取得財産等管理台帳</w:t>
      </w:r>
    </w:p>
    <w:p>
      <w:pPr>
        <w:pStyle w:val="0"/>
        <w:autoSpaceDE w:val="0"/>
        <w:autoSpaceDN w:val="0"/>
        <w:rPr>
          <w:rFonts w:hint="default" w:ascii="ＭＳ 明朝" w:hAnsi="ＭＳ 明朝" w:eastAsia="ＭＳ 明朝"/>
        </w:rPr>
      </w:pPr>
    </w:p>
    <w:tbl>
      <w:tblPr>
        <w:tblStyle w:val="15"/>
        <w:tblW w:w="0" w:type="auto"/>
        <w:tblInd w:w="0" w:type="dxa"/>
        <w:tblLayout w:type="fixed"/>
        <w:tblLook w:firstRow="1" w:lastRow="0" w:firstColumn="1" w:lastColumn="0" w:noHBand="0" w:noVBand="1" w:val="04A0"/>
      </w:tblPr>
      <w:tblGrid>
        <w:gridCol w:w="861"/>
        <w:gridCol w:w="860"/>
        <w:gridCol w:w="861"/>
        <w:gridCol w:w="860"/>
        <w:gridCol w:w="861"/>
        <w:gridCol w:w="860"/>
        <w:gridCol w:w="861"/>
        <w:gridCol w:w="860"/>
        <w:gridCol w:w="861"/>
        <w:gridCol w:w="860"/>
      </w:tblGrid>
      <w:tr>
        <w:trPr>
          <w:trHeight w:val="704" w:hRule="atLeast"/>
        </w:trPr>
        <w:tc>
          <w:tcPr>
            <w:tcW w:w="861"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区分</w:t>
            </w:r>
          </w:p>
        </w:tc>
        <w:tc>
          <w:tcPr>
            <w:tcW w:w="86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財産名</w:t>
            </w:r>
          </w:p>
        </w:tc>
        <w:tc>
          <w:tcPr>
            <w:tcW w:w="861"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規格</w:t>
            </w:r>
          </w:p>
        </w:tc>
        <w:tc>
          <w:tcPr>
            <w:tcW w:w="86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数量</w:t>
            </w:r>
          </w:p>
        </w:tc>
        <w:tc>
          <w:tcPr>
            <w:tcW w:w="861"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単価</w:t>
            </w:r>
          </w:p>
        </w:tc>
        <w:tc>
          <w:tcPr>
            <w:tcW w:w="86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金額</w:t>
            </w:r>
          </w:p>
        </w:tc>
        <w:tc>
          <w:tcPr>
            <w:tcW w:w="861"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取得年月日</w:t>
            </w:r>
          </w:p>
        </w:tc>
        <w:tc>
          <w:tcPr>
            <w:tcW w:w="86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処分制限期間</w:t>
            </w:r>
          </w:p>
        </w:tc>
        <w:tc>
          <w:tcPr>
            <w:tcW w:w="861"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保管場所</w:t>
            </w:r>
          </w:p>
        </w:tc>
        <w:tc>
          <w:tcPr>
            <w:tcW w:w="86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備考</w:t>
            </w:r>
          </w:p>
        </w:tc>
      </w:tr>
      <w:tr>
        <w:trPr>
          <w:trHeight w:val="1066" w:hRule="atLeast"/>
        </w:trPr>
        <w:tc>
          <w:tcPr>
            <w:tcW w:w="861" w:type="dxa"/>
            <w:vAlign w:val="top"/>
          </w:tcPr>
          <w:p>
            <w:pPr>
              <w:pStyle w:val="0"/>
              <w:autoSpaceDE w:val="0"/>
              <w:autoSpaceDN w:val="0"/>
              <w:rPr>
                <w:rFonts w:hint="default" w:ascii="ＭＳ 明朝" w:hAnsi="ＭＳ 明朝" w:eastAsia="ＭＳ 明朝"/>
              </w:rPr>
            </w:pPr>
          </w:p>
        </w:tc>
        <w:tc>
          <w:tcPr>
            <w:tcW w:w="860" w:type="dxa"/>
            <w:vAlign w:val="top"/>
          </w:tcPr>
          <w:p>
            <w:pPr>
              <w:pStyle w:val="0"/>
              <w:autoSpaceDE w:val="0"/>
              <w:autoSpaceDN w:val="0"/>
              <w:rPr>
                <w:rFonts w:hint="default" w:ascii="ＭＳ 明朝" w:hAnsi="ＭＳ 明朝" w:eastAsia="ＭＳ 明朝"/>
              </w:rPr>
            </w:pPr>
          </w:p>
        </w:tc>
        <w:tc>
          <w:tcPr>
            <w:tcW w:w="861" w:type="dxa"/>
            <w:vAlign w:val="top"/>
          </w:tcPr>
          <w:p>
            <w:pPr>
              <w:pStyle w:val="0"/>
              <w:autoSpaceDE w:val="0"/>
              <w:autoSpaceDN w:val="0"/>
              <w:rPr>
                <w:rFonts w:hint="default" w:ascii="ＭＳ 明朝" w:hAnsi="ＭＳ 明朝" w:eastAsia="ＭＳ 明朝"/>
              </w:rPr>
            </w:pPr>
          </w:p>
        </w:tc>
        <w:tc>
          <w:tcPr>
            <w:tcW w:w="860" w:type="dxa"/>
            <w:vAlign w:val="top"/>
          </w:tcPr>
          <w:p>
            <w:pPr>
              <w:pStyle w:val="0"/>
              <w:autoSpaceDE w:val="0"/>
              <w:autoSpaceDN w:val="0"/>
              <w:rPr>
                <w:rFonts w:hint="default" w:ascii="ＭＳ 明朝" w:hAnsi="ＭＳ 明朝" w:eastAsia="ＭＳ 明朝"/>
              </w:rPr>
            </w:pPr>
          </w:p>
        </w:tc>
        <w:tc>
          <w:tcPr>
            <w:tcW w:w="861" w:type="dxa"/>
            <w:vAlign w:val="top"/>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860" w:type="dxa"/>
            <w:vAlign w:val="top"/>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861" w:type="dxa"/>
            <w:vAlign w:val="top"/>
          </w:tcPr>
          <w:p>
            <w:pPr>
              <w:pStyle w:val="0"/>
              <w:autoSpaceDE w:val="0"/>
              <w:autoSpaceDN w:val="0"/>
              <w:rPr>
                <w:rFonts w:hint="default" w:ascii="ＭＳ 明朝" w:hAnsi="ＭＳ 明朝" w:eastAsia="ＭＳ 明朝"/>
              </w:rPr>
            </w:pPr>
          </w:p>
        </w:tc>
        <w:tc>
          <w:tcPr>
            <w:tcW w:w="860" w:type="dxa"/>
            <w:vAlign w:val="top"/>
          </w:tcPr>
          <w:p>
            <w:pPr>
              <w:pStyle w:val="0"/>
              <w:autoSpaceDE w:val="0"/>
              <w:autoSpaceDN w:val="0"/>
              <w:rPr>
                <w:rFonts w:hint="default" w:ascii="ＭＳ 明朝" w:hAnsi="ＭＳ 明朝" w:eastAsia="ＭＳ 明朝"/>
              </w:rPr>
            </w:pPr>
          </w:p>
        </w:tc>
        <w:tc>
          <w:tcPr>
            <w:tcW w:w="861" w:type="dxa"/>
            <w:vAlign w:val="top"/>
          </w:tcPr>
          <w:p>
            <w:pPr>
              <w:pStyle w:val="0"/>
              <w:autoSpaceDE w:val="0"/>
              <w:autoSpaceDN w:val="0"/>
              <w:rPr>
                <w:rFonts w:hint="default" w:ascii="ＭＳ 明朝" w:hAnsi="ＭＳ 明朝" w:eastAsia="ＭＳ 明朝"/>
              </w:rPr>
            </w:pPr>
          </w:p>
        </w:tc>
        <w:tc>
          <w:tcPr>
            <w:tcW w:w="860" w:type="dxa"/>
            <w:vAlign w:val="top"/>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r>
        <w:rPr>
          <w:rFonts w:hint="eastAsia" w:ascii="ＭＳ 明朝" w:hAnsi="ＭＳ 明朝" w:eastAsia="ＭＳ 明朝"/>
        </w:rPr>
        <w:t>備考</w:t>
      </w:r>
    </w:p>
    <w:p>
      <w:pPr>
        <w:pStyle w:val="0"/>
        <w:autoSpaceDE w:val="0"/>
        <w:autoSpaceDN w:val="0"/>
        <w:ind w:left="224" w:hanging="224" w:hangingChars="100"/>
        <w:rPr>
          <w:rFonts w:hint="default" w:ascii="ＭＳ 明朝" w:hAnsi="ＭＳ 明朝" w:eastAsia="ＭＳ 明朝"/>
        </w:rPr>
      </w:pPr>
      <w:r>
        <w:rPr>
          <w:rFonts w:hint="eastAsia" w:ascii="ＭＳ 明朝" w:hAnsi="ＭＳ 明朝" w:eastAsia="ＭＳ 明朝"/>
        </w:rPr>
        <w:t>１　対象となる取得財産等は、取得価格又は効用の増加価格が</w:t>
      </w:r>
      <w:r>
        <w:rPr>
          <w:rFonts w:hint="eastAsia" w:ascii="ＭＳ 明朝" w:hAnsi="ＭＳ 明朝" w:eastAsia="ＭＳ 明朝"/>
          <w:color w:val="000000" w:themeColor="text1"/>
        </w:rPr>
        <w:t>単価で</w:t>
      </w:r>
      <w:r>
        <w:rPr>
          <w:rFonts w:hint="eastAsia" w:ascii="ＭＳ 明朝" w:hAnsi="ＭＳ 明朝" w:eastAsia="ＭＳ 明朝"/>
        </w:rPr>
        <w:t>50</w:t>
      </w:r>
      <w:r>
        <w:rPr>
          <w:rFonts w:hint="eastAsia" w:ascii="ＭＳ 明朝" w:hAnsi="ＭＳ 明朝" w:eastAsia="ＭＳ 明朝"/>
        </w:rPr>
        <w:t>万円（消費税及び地方消費税額を除く。）以上の財産です。</w:t>
      </w:r>
    </w:p>
    <w:p>
      <w:pPr>
        <w:pStyle w:val="0"/>
        <w:autoSpaceDE w:val="0"/>
        <w:autoSpaceDN w:val="0"/>
        <w:ind w:left="224" w:hanging="224" w:hangingChars="100"/>
        <w:rPr>
          <w:rFonts w:hint="default" w:ascii="ＭＳ 明朝" w:hAnsi="ＭＳ 明朝" w:eastAsia="ＭＳ 明朝"/>
        </w:rPr>
      </w:pPr>
      <w:r>
        <w:rPr>
          <w:rFonts w:hint="eastAsia" w:ascii="ＭＳ 明朝" w:hAnsi="ＭＳ 明朝" w:eastAsia="ＭＳ 明朝"/>
        </w:rPr>
        <w:t>２　数量は、同一規格等であれば、一括して記載してください。単価が異なる場合は、分割して記載してください。</w:t>
      </w:r>
    </w:p>
    <w:p>
      <w:pPr>
        <w:pStyle w:val="0"/>
        <w:autoSpaceDE w:val="0"/>
        <w:autoSpaceDN w:val="0"/>
        <w:rPr>
          <w:rFonts w:hint="default" w:ascii="ＭＳ 明朝" w:hAnsi="ＭＳ 明朝" w:eastAsia="ＭＳ 明朝"/>
        </w:rPr>
      </w:pPr>
      <w:r>
        <w:rPr>
          <w:rFonts w:hint="eastAsia" w:ascii="ＭＳ 明朝" w:hAnsi="ＭＳ 明朝" w:eastAsia="ＭＳ 明朝"/>
        </w:rPr>
        <w:t>３　取得年月日は、検収を行った日を記載してください。</w:t>
      </w:r>
    </w:p>
    <w:p>
      <w:pPr>
        <w:pStyle w:val="0"/>
        <w:rPr>
          <w:rFonts w:hint="eastAsia"/>
        </w:rPr>
      </w:pPr>
      <w:r>
        <w:rPr>
          <w:rFonts w:hint="eastAsia" w:ascii="ＭＳ 明朝" w:hAnsi="ＭＳ 明朝" w:eastAsia="ＭＳ 明朝"/>
        </w:rPr>
        <w:t>４　処分制限期間は、「減価償却資産の耐用年数等に関する省令」（昭和</w:t>
      </w:r>
      <w:r>
        <w:rPr>
          <w:rFonts w:hint="eastAsia" w:ascii="ＭＳ 明朝" w:hAnsi="ＭＳ 明朝" w:eastAsia="ＭＳ 明朝"/>
        </w:rPr>
        <w:t>40</w:t>
      </w:r>
      <w:r>
        <w:rPr>
          <w:rFonts w:hint="eastAsia" w:ascii="ＭＳ 明朝" w:hAnsi="ＭＳ 明朝" w:eastAsia="ＭＳ 明朝"/>
        </w:rPr>
        <w:t>年大蔵省令第</w:t>
      </w:r>
      <w:r>
        <w:rPr>
          <w:rFonts w:hint="eastAsia" w:ascii="ＭＳ 明朝" w:hAnsi="ＭＳ 明朝" w:eastAsia="ＭＳ 明朝"/>
        </w:rPr>
        <w:t>15</w:t>
      </w:r>
      <w:r>
        <w:rPr>
          <w:rFonts w:hint="eastAsia" w:ascii="ＭＳ 明朝" w:hAnsi="ＭＳ 明朝" w:eastAsia="ＭＳ 明朝"/>
        </w:rPr>
        <w:t>号）に定める期間を記載してください。</w:t>
      </w:r>
    </w:p>
    <w:p>
      <w:pPr>
        <w:pStyle w:val="0"/>
        <w:ind w:left="210" w:hanging="210" w:hangingChars="100"/>
        <w:rPr>
          <w:rFonts w:hint="eastAsia"/>
        </w:rPr>
      </w:pPr>
      <w:r>
        <w:rPr>
          <w:rFonts w:hint="eastAsia" w:ascii="ＭＳ 明朝" w:hAnsi="ＭＳ 明朝" w:eastAsia="ＭＳ 明朝"/>
        </w:rPr>
        <w:t>５　</w:t>
      </w:r>
      <w:r>
        <w:rPr>
          <w:rFonts w:hint="eastAsia" w:ascii="ＭＳ 明朝" w:hAnsi="ＭＳ 明朝" w:eastAsia="ＭＳ 明朝"/>
        </w:rPr>
        <w:t>4</w:t>
      </w:r>
      <w:r>
        <w:rPr>
          <w:rFonts w:hint="eastAsia" w:ascii="ＭＳ 明朝" w:hAnsi="ＭＳ 明朝" w:eastAsia="ＭＳ 明朝"/>
        </w:rPr>
        <w:t>に定める期間を経過するまでにあらかじめ市長の承認を受けなければ、補助金の交付の目的に反して使用し、譲渡し、交換し、貸し付け、担保に供し、取壊し又は廃棄してはならない。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月原康博</cp:lastModifiedBy>
  <dcterms:created xsi:type="dcterms:W3CDTF">2023-01-26T07:46:00Z</dcterms:created>
  <dcterms:modified xsi:type="dcterms:W3CDTF">2023-01-26T07:47:06Z</dcterms:modified>
  <cp:revision>0</cp:revision>
</cp:coreProperties>
</file>